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spacing w:after="0" w:line="240" w:lineRule="auto"/>
        <w:jc w:val="right"/>
        <w:rPr>
          <w:color w:val="000000"/>
          <w:sz w:val="20"/>
          <w:szCs w:val="20"/>
        </w:rPr>
      </w:pPr>
      <w:r w:rsidDel="00000000" w:rsidR="00000000" w:rsidRPr="00000000">
        <w:rPr>
          <w:b w:val="1"/>
          <w:color w:val="000000"/>
          <w:sz w:val="20"/>
          <w:szCs w:val="20"/>
          <w:rtl w:val="0"/>
        </w:rPr>
        <w:t xml:space="preserve">1.pielikums</w:t>
      </w:r>
      <w:r w:rsidDel="00000000" w:rsidR="00000000" w:rsidRPr="00000000">
        <w:rPr>
          <w:rtl w:val="0"/>
        </w:rPr>
      </w:r>
    </w:p>
    <w:p w:rsidR="00000000" w:rsidDel="00000000" w:rsidP="00000000" w:rsidRDefault="00000000" w:rsidRPr="00000000" w14:paraId="00000002">
      <w:pPr>
        <w:pStyle w:val="Subtitle"/>
        <w:keepNext w:val="0"/>
        <w:keepLines w:val="0"/>
        <w:spacing w:after="0" w:line="240" w:lineRule="auto"/>
        <w:jc w:val="right"/>
        <w:rPr>
          <w:color w:val="000000"/>
          <w:sz w:val="20"/>
          <w:szCs w:val="20"/>
        </w:rPr>
      </w:pPr>
      <w:r w:rsidDel="00000000" w:rsidR="00000000" w:rsidRPr="00000000">
        <w:rPr>
          <w:color w:val="000000"/>
          <w:sz w:val="20"/>
          <w:szCs w:val="20"/>
          <w:rtl w:val="0"/>
        </w:rPr>
        <w:t xml:space="preserve">Valkas Jāņa Cimzes ģimnāzijas</w:t>
      </w:r>
    </w:p>
    <w:p w:rsidR="00000000" w:rsidDel="00000000" w:rsidP="00000000" w:rsidRDefault="00000000" w:rsidRPr="00000000" w14:paraId="00000003">
      <w:pPr>
        <w:pStyle w:val="Subtitle"/>
        <w:keepNext w:val="0"/>
        <w:keepLines w:val="0"/>
        <w:spacing w:after="0" w:line="240" w:lineRule="auto"/>
        <w:jc w:val="right"/>
        <w:rPr>
          <w:color w:val="000000"/>
          <w:sz w:val="20"/>
          <w:szCs w:val="20"/>
        </w:rPr>
      </w:pPr>
      <w:r w:rsidDel="00000000" w:rsidR="00000000" w:rsidRPr="00000000">
        <w:rPr>
          <w:color w:val="000000"/>
          <w:sz w:val="20"/>
          <w:szCs w:val="20"/>
          <w:rtl w:val="0"/>
        </w:rPr>
        <w:t xml:space="preserve">2016.gada 2.septembra direktores rīkojumam Nr.38/1</w:t>
      </w:r>
    </w:p>
    <w:p w:rsidR="00000000" w:rsidDel="00000000" w:rsidP="00000000" w:rsidRDefault="00000000" w:rsidRPr="00000000" w14:paraId="00000004">
      <w:pPr>
        <w:pStyle w:val="Subtitle"/>
        <w:keepNext w:val="0"/>
        <w:keepLines w:val="0"/>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pStyle w:val="Subtitle"/>
        <w:keepNext w:val="0"/>
        <w:keepLines w:val="0"/>
        <w:spacing w:after="0" w:line="360" w:lineRule="auto"/>
        <w:jc w:val="center"/>
        <w:rPr>
          <w:color w:val="000000"/>
          <w:sz w:val="28"/>
          <w:szCs w:val="28"/>
        </w:rPr>
      </w:pPr>
      <w:r w:rsidDel="00000000" w:rsidR="00000000" w:rsidRPr="00000000">
        <w:rPr>
          <w:b w:val="1"/>
          <w:color w:val="000000"/>
          <w:sz w:val="28"/>
          <w:szCs w:val="28"/>
          <w:rtl w:val="0"/>
        </w:rPr>
        <w:t xml:space="preserve">Ceļu satiksmes un drošības noteikumi</w:t>
      </w:r>
      <w:r w:rsidDel="00000000" w:rsidR="00000000" w:rsidRPr="00000000">
        <w:rPr>
          <w:rtl w:val="0"/>
        </w:rPr>
      </w:r>
    </w:p>
    <w:p w:rsidR="00000000" w:rsidDel="00000000" w:rsidP="00000000" w:rsidRDefault="00000000" w:rsidRPr="00000000" w14:paraId="00000006">
      <w:pPr>
        <w:spacing w:line="240" w:lineRule="auto"/>
        <w:jc w:val="center"/>
        <w:rPr>
          <w:sz w:val="16"/>
          <w:szCs w:val="16"/>
        </w:rPr>
      </w:pPr>
      <w:r w:rsidDel="00000000" w:rsidR="00000000" w:rsidRPr="00000000">
        <w:rPr>
          <w:rtl w:val="0"/>
        </w:rPr>
      </w:r>
    </w:p>
    <w:p w:rsidR="00000000" w:rsidDel="00000000" w:rsidP="00000000" w:rsidRDefault="00000000" w:rsidRPr="00000000" w14:paraId="00000007">
      <w:pPr>
        <w:spacing w:line="240" w:lineRule="auto"/>
        <w:ind w:left="426" w:firstLine="0"/>
        <w:jc w:val="both"/>
        <w:rPr>
          <w:sz w:val="24"/>
          <w:szCs w:val="24"/>
        </w:rPr>
      </w:pPr>
      <w:r w:rsidDel="00000000" w:rsidR="00000000" w:rsidRPr="00000000">
        <w:rPr>
          <w:i w:val="1"/>
          <w:sz w:val="24"/>
          <w:szCs w:val="24"/>
          <w:rtl w:val="0"/>
        </w:rPr>
        <w:t xml:space="preserve">Ar minētajiem drošības noteikumiem izglītojamos iepazīstina ne retāk kā divas reizes gadā un pirms tādu jaunu darbību uzsākšanas, kuras var apdraudēt izglītojamo drošību un veselību.</w:t>
      </w:r>
      <w:r w:rsidDel="00000000" w:rsidR="00000000" w:rsidRPr="00000000">
        <w:rPr>
          <w:rtl w:val="0"/>
        </w:rPr>
      </w:r>
    </w:p>
    <w:p w:rsidR="00000000" w:rsidDel="00000000" w:rsidP="00000000" w:rsidRDefault="00000000" w:rsidRPr="00000000" w14:paraId="00000008">
      <w:pPr>
        <w:spacing w:line="240" w:lineRule="auto"/>
        <w:ind w:left="426" w:firstLine="0"/>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900" w:hanging="540"/>
        <w:jc w:val="both"/>
        <w:rPr>
          <w:sz w:val="24"/>
          <w:szCs w:val="24"/>
        </w:rPr>
      </w:pPr>
      <w:r w:rsidDel="00000000" w:rsidR="00000000" w:rsidRPr="00000000">
        <w:rPr>
          <w:sz w:val="24"/>
          <w:szCs w:val="24"/>
          <w:rtl w:val="0"/>
        </w:rPr>
        <w:t xml:space="preserve">Gājējiem jāpārvietojas pa ietvi, gājēju ceļu vai gājēju un velosipēdu ceļu, bet, ja to nav – pa ceļa nomali.</w:t>
      </w:r>
    </w:p>
    <w:p w:rsidR="00000000" w:rsidDel="00000000" w:rsidP="00000000" w:rsidRDefault="00000000" w:rsidRPr="00000000" w14:paraId="0000000A">
      <w:pPr>
        <w:numPr>
          <w:ilvl w:val="0"/>
          <w:numId w:val="1"/>
        </w:numPr>
        <w:spacing w:line="240" w:lineRule="auto"/>
        <w:ind w:left="900" w:hanging="540"/>
        <w:jc w:val="both"/>
        <w:rPr>
          <w:sz w:val="24"/>
          <w:szCs w:val="24"/>
        </w:rPr>
      </w:pPr>
      <w:r w:rsidDel="00000000" w:rsidR="00000000" w:rsidRPr="00000000">
        <w:rPr>
          <w:sz w:val="24"/>
          <w:szCs w:val="24"/>
          <w:rtl w:val="0"/>
        </w:rPr>
        <w:t xml:space="preserve">Ja ietves, gājēju ceļa, gājēju un velosipēdu ceļa, ceļa nomales nav vai pa to pārvietoties nav iespējams, gājējiem ir atļauts pārvietoties pa brauktuves malu vienā rindā.</w:t>
      </w:r>
    </w:p>
    <w:p w:rsidR="00000000" w:rsidDel="00000000" w:rsidP="00000000" w:rsidRDefault="00000000" w:rsidRPr="00000000" w14:paraId="0000000B">
      <w:pPr>
        <w:numPr>
          <w:ilvl w:val="0"/>
          <w:numId w:val="1"/>
        </w:numPr>
        <w:spacing w:line="240" w:lineRule="auto"/>
        <w:ind w:left="900" w:hanging="540"/>
        <w:jc w:val="both"/>
        <w:rPr>
          <w:sz w:val="24"/>
          <w:szCs w:val="24"/>
        </w:rPr>
      </w:pPr>
      <w:r w:rsidDel="00000000" w:rsidR="00000000" w:rsidRPr="00000000">
        <w:rPr>
          <w:sz w:val="24"/>
          <w:szCs w:val="24"/>
          <w:rtl w:val="0"/>
        </w:rPr>
        <w:t xml:space="preserve">Ārpus apdzīvotām vietām gājējiem, kuri iet pa brauktuves malu vai ceļa nomali, jāpārvietojas pretim transportlīdzekļu braukšanas virzienam.</w:t>
      </w:r>
    </w:p>
    <w:p w:rsidR="00000000" w:rsidDel="00000000" w:rsidP="00000000" w:rsidRDefault="00000000" w:rsidRPr="00000000" w14:paraId="0000000C">
      <w:pPr>
        <w:numPr>
          <w:ilvl w:val="0"/>
          <w:numId w:val="1"/>
        </w:numPr>
        <w:spacing w:line="240" w:lineRule="auto"/>
        <w:ind w:left="900" w:hanging="540"/>
        <w:jc w:val="both"/>
        <w:rPr>
          <w:sz w:val="24"/>
          <w:szCs w:val="24"/>
        </w:rPr>
      </w:pPr>
      <w:r w:rsidDel="00000000" w:rsidR="00000000" w:rsidRPr="00000000">
        <w:rPr>
          <w:sz w:val="24"/>
          <w:szCs w:val="24"/>
          <w:rtl w:val="0"/>
        </w:rPr>
        <w:t xml:space="preserve">Bērnu grupas atļauts vest tikai diennakts gaišajā laikā pa ietvēm, gājēju ceļiem vai gājēju un velosipēdu ceļiem, bet, ja to nav – pa ceļa nomali transportlīdzekļu braukšanas virzienā kolonnā ne vairāk par diviem bērniem rindā. Kolonnas priekšā un aizmugurē tās kreisajā pusē jāatrodas pieaugušajiem, kas to pavada, ar sarkaniem karodziņiem.</w:t>
      </w:r>
    </w:p>
    <w:p w:rsidR="00000000" w:rsidDel="00000000" w:rsidP="00000000" w:rsidRDefault="00000000" w:rsidRPr="00000000" w14:paraId="0000000D">
      <w:pPr>
        <w:numPr>
          <w:ilvl w:val="0"/>
          <w:numId w:val="1"/>
        </w:numPr>
        <w:spacing w:line="240" w:lineRule="auto"/>
        <w:ind w:left="900" w:hanging="540"/>
        <w:jc w:val="both"/>
        <w:rPr>
          <w:sz w:val="24"/>
          <w:szCs w:val="24"/>
        </w:rPr>
      </w:pPr>
      <w:r w:rsidDel="00000000" w:rsidR="00000000" w:rsidRPr="00000000">
        <w:rPr>
          <w:sz w:val="24"/>
          <w:szCs w:val="24"/>
          <w:rtl w:val="0"/>
        </w:rPr>
        <w:t xml:space="preserve">Gājējiem brauktuve jāšķērso pa gājēju pārejām (pazemes vai virszemes), bet, ja to nav – krustojumos pa ietvju vai ceļa nomaļu iedomāto turpinājumu.</w:t>
      </w:r>
    </w:p>
    <w:p w:rsidR="00000000" w:rsidDel="00000000" w:rsidP="00000000" w:rsidRDefault="00000000" w:rsidRPr="00000000" w14:paraId="0000000E">
      <w:pPr>
        <w:numPr>
          <w:ilvl w:val="0"/>
          <w:numId w:val="1"/>
        </w:numPr>
        <w:spacing w:line="240" w:lineRule="auto"/>
        <w:ind w:left="900" w:hanging="540"/>
        <w:jc w:val="both"/>
        <w:rPr>
          <w:sz w:val="24"/>
          <w:szCs w:val="24"/>
        </w:rPr>
      </w:pPr>
      <w:r w:rsidDel="00000000" w:rsidR="00000000" w:rsidRPr="00000000">
        <w:rPr>
          <w:sz w:val="24"/>
          <w:szCs w:val="24"/>
          <w:rtl w:val="0"/>
        </w:rPr>
        <w:t xml:space="preserve">Ja redzamības zonā gājēju pārejas vai krustojuma nav, brauktuvi atļauts šķērsot taisnā leņķī attiecībā pret brauktuves malu vietās, kur ceļš labi pārredzams uz abām pusēm.</w:t>
      </w:r>
    </w:p>
    <w:p w:rsidR="00000000" w:rsidDel="00000000" w:rsidP="00000000" w:rsidRDefault="00000000" w:rsidRPr="00000000" w14:paraId="0000000F">
      <w:pPr>
        <w:numPr>
          <w:ilvl w:val="0"/>
          <w:numId w:val="1"/>
        </w:numPr>
        <w:spacing w:line="240" w:lineRule="auto"/>
        <w:ind w:left="900" w:hanging="540"/>
        <w:jc w:val="both"/>
        <w:rPr>
          <w:sz w:val="24"/>
          <w:szCs w:val="24"/>
        </w:rPr>
      </w:pPr>
      <w:r w:rsidDel="00000000" w:rsidR="00000000" w:rsidRPr="00000000">
        <w:rPr>
          <w:sz w:val="24"/>
          <w:szCs w:val="24"/>
          <w:rtl w:val="0"/>
        </w:rPr>
        <w:t xml:space="preserve">Vietās, kur ceļu satiksme tiek regulēta, gājējiem jāvadās pēc satiksmes regulētāja vai luksofora signāliem. Citos gadījumos gājēji drīkst iziet uz brauktuves tikai pēc tam, kad ir pārliecinājušies, ka brauktuves šķērsošana nav bīstama un ka netiks traucēta transportlīdzekļu kustība.</w:t>
      </w:r>
    </w:p>
    <w:p w:rsidR="00000000" w:rsidDel="00000000" w:rsidP="00000000" w:rsidRDefault="00000000" w:rsidRPr="00000000" w14:paraId="00000010">
      <w:pPr>
        <w:numPr>
          <w:ilvl w:val="0"/>
          <w:numId w:val="1"/>
        </w:numPr>
        <w:spacing w:line="240" w:lineRule="auto"/>
        <w:ind w:left="900" w:hanging="540"/>
        <w:jc w:val="both"/>
        <w:rPr>
          <w:sz w:val="24"/>
          <w:szCs w:val="24"/>
        </w:rPr>
      </w:pPr>
      <w:r w:rsidDel="00000000" w:rsidR="00000000" w:rsidRPr="00000000">
        <w:rPr>
          <w:sz w:val="24"/>
          <w:szCs w:val="24"/>
          <w:rtl w:val="0"/>
        </w:rPr>
        <w:t xml:space="preserve">Gājēji uz brauktuves nedrīkst kavēties vai bez vajadzības apstāties.</w:t>
      </w:r>
    </w:p>
    <w:p w:rsidR="00000000" w:rsidDel="00000000" w:rsidP="00000000" w:rsidRDefault="00000000" w:rsidRPr="00000000" w14:paraId="00000011">
      <w:pPr>
        <w:numPr>
          <w:ilvl w:val="0"/>
          <w:numId w:val="1"/>
        </w:numPr>
        <w:spacing w:line="240" w:lineRule="auto"/>
        <w:ind w:left="900" w:hanging="540"/>
        <w:jc w:val="both"/>
        <w:rPr>
          <w:sz w:val="24"/>
          <w:szCs w:val="24"/>
        </w:rPr>
      </w:pPr>
      <w:r w:rsidDel="00000000" w:rsidR="00000000" w:rsidRPr="00000000">
        <w:rPr>
          <w:sz w:val="24"/>
          <w:szCs w:val="24"/>
          <w:rtl w:val="0"/>
        </w:rPr>
        <w:t xml:space="preserve">Ja tuvojas operatīvais transporta līdzeklis, gājējiem jāatturas šķērsot brauktuvi.</w:t>
      </w:r>
    </w:p>
    <w:p w:rsidR="00000000" w:rsidDel="00000000" w:rsidP="00000000" w:rsidRDefault="00000000" w:rsidRPr="00000000" w14:paraId="00000012">
      <w:pPr>
        <w:numPr>
          <w:ilvl w:val="0"/>
          <w:numId w:val="1"/>
        </w:numPr>
        <w:spacing w:line="240" w:lineRule="auto"/>
        <w:ind w:left="900" w:hanging="540"/>
        <w:jc w:val="both"/>
        <w:rPr>
          <w:sz w:val="24"/>
          <w:szCs w:val="24"/>
        </w:rPr>
      </w:pPr>
      <w:r w:rsidDel="00000000" w:rsidR="00000000" w:rsidRPr="00000000">
        <w:rPr>
          <w:sz w:val="24"/>
          <w:szCs w:val="24"/>
          <w:rtl w:val="0"/>
        </w:rPr>
        <w:t xml:space="preserve">Nedrīkst bojāt, patvaļīgi noņemt un uzstādīt ceļa zīmes, luksoforus.</w:t>
      </w:r>
    </w:p>
    <w:p w:rsidR="00000000" w:rsidDel="00000000" w:rsidP="00000000" w:rsidRDefault="00000000" w:rsidRPr="00000000" w14:paraId="00000013">
      <w:pPr>
        <w:numPr>
          <w:ilvl w:val="0"/>
          <w:numId w:val="1"/>
        </w:numPr>
        <w:spacing w:line="240" w:lineRule="auto"/>
        <w:ind w:left="900" w:hanging="540"/>
        <w:jc w:val="both"/>
        <w:rPr>
          <w:sz w:val="24"/>
          <w:szCs w:val="24"/>
        </w:rPr>
      </w:pPr>
      <w:r w:rsidDel="00000000" w:rsidR="00000000" w:rsidRPr="00000000">
        <w:rPr>
          <w:sz w:val="24"/>
          <w:szCs w:val="24"/>
          <w:rtl w:val="0"/>
        </w:rPr>
        <w:t xml:space="preserve">Nedrīkst piesārņot vai piegružot brauktuvi.</w:t>
      </w:r>
    </w:p>
    <w:p w:rsidR="00000000" w:rsidDel="00000000" w:rsidP="00000000" w:rsidRDefault="00000000" w:rsidRPr="00000000" w14:paraId="00000014">
      <w:pPr>
        <w:numPr>
          <w:ilvl w:val="0"/>
          <w:numId w:val="1"/>
        </w:numPr>
        <w:spacing w:line="240" w:lineRule="auto"/>
        <w:ind w:left="900" w:hanging="540"/>
        <w:jc w:val="both"/>
        <w:rPr>
          <w:sz w:val="24"/>
          <w:szCs w:val="24"/>
        </w:rPr>
      </w:pPr>
      <w:r w:rsidDel="00000000" w:rsidR="00000000" w:rsidRPr="00000000">
        <w:rPr>
          <w:sz w:val="24"/>
          <w:szCs w:val="24"/>
          <w:rtl w:val="0"/>
        </w:rPr>
        <w:t xml:space="preserve">Gaidīt autobusu atļauts tikai uz iekāpšanas laukumiem, bet, ja to nav – uz ietves vai ceļa nomales.</w:t>
      </w:r>
    </w:p>
    <w:p w:rsidR="00000000" w:rsidDel="00000000" w:rsidP="00000000" w:rsidRDefault="00000000" w:rsidRPr="00000000" w14:paraId="00000015">
      <w:pPr>
        <w:numPr>
          <w:ilvl w:val="0"/>
          <w:numId w:val="1"/>
        </w:numPr>
        <w:spacing w:line="240" w:lineRule="auto"/>
        <w:ind w:left="900" w:hanging="540"/>
        <w:jc w:val="both"/>
        <w:rPr>
          <w:sz w:val="24"/>
          <w:szCs w:val="24"/>
        </w:rPr>
      </w:pPr>
      <w:r w:rsidDel="00000000" w:rsidR="00000000" w:rsidRPr="00000000">
        <w:rPr>
          <w:sz w:val="24"/>
          <w:szCs w:val="24"/>
          <w:rtl w:val="0"/>
        </w:rPr>
        <w:t xml:space="preserve">Pasažieriem atļauts iekāpt transportlīdzeklī un izkāpt no tā tikai pēc tam, kad transportlīdzeklis pilnīgi apstājies. Tas jādara no ietves vai ceļa nomales puses.</w:t>
      </w:r>
    </w:p>
    <w:p w:rsidR="00000000" w:rsidDel="00000000" w:rsidP="00000000" w:rsidRDefault="00000000" w:rsidRPr="00000000" w14:paraId="00000016">
      <w:pPr>
        <w:numPr>
          <w:ilvl w:val="0"/>
          <w:numId w:val="1"/>
        </w:numPr>
        <w:spacing w:line="240" w:lineRule="auto"/>
        <w:ind w:left="900" w:hanging="540"/>
        <w:jc w:val="both"/>
        <w:rPr>
          <w:sz w:val="24"/>
          <w:szCs w:val="24"/>
        </w:rPr>
      </w:pPr>
      <w:r w:rsidDel="00000000" w:rsidR="00000000" w:rsidRPr="00000000">
        <w:rPr>
          <w:sz w:val="24"/>
          <w:szCs w:val="24"/>
          <w:rtl w:val="0"/>
        </w:rPr>
        <w:t xml:space="preserve">Pasažieriem, kuru sēdvietas aprīkotas ar drošības jostām, braukšanas laikā jābūt piesprādzētiem.</w:t>
      </w:r>
    </w:p>
    <w:p w:rsidR="00000000" w:rsidDel="00000000" w:rsidP="00000000" w:rsidRDefault="00000000" w:rsidRPr="00000000" w14:paraId="00000017">
      <w:pPr>
        <w:numPr>
          <w:ilvl w:val="0"/>
          <w:numId w:val="1"/>
        </w:numPr>
        <w:spacing w:line="240" w:lineRule="auto"/>
        <w:ind w:left="900" w:hanging="540"/>
        <w:jc w:val="both"/>
        <w:rPr>
          <w:sz w:val="24"/>
          <w:szCs w:val="24"/>
        </w:rPr>
      </w:pPr>
      <w:r w:rsidDel="00000000" w:rsidR="00000000" w:rsidRPr="00000000">
        <w:rPr>
          <w:sz w:val="24"/>
          <w:szCs w:val="24"/>
          <w:rtl w:val="0"/>
        </w:rPr>
        <w:t xml:space="preserve">Pasažieriem aizliegts:</w:t>
      </w:r>
    </w:p>
    <w:p w:rsidR="00000000" w:rsidDel="00000000" w:rsidP="00000000" w:rsidRDefault="00000000" w:rsidRPr="00000000" w14:paraId="00000018">
      <w:pPr>
        <w:numPr>
          <w:ilvl w:val="1"/>
          <w:numId w:val="1"/>
        </w:numPr>
        <w:spacing w:line="240" w:lineRule="auto"/>
        <w:ind w:left="1620" w:hanging="720"/>
        <w:jc w:val="both"/>
        <w:rPr>
          <w:sz w:val="24"/>
          <w:szCs w:val="24"/>
        </w:rPr>
      </w:pPr>
      <w:r w:rsidDel="00000000" w:rsidR="00000000" w:rsidRPr="00000000">
        <w:rPr>
          <w:sz w:val="24"/>
          <w:szCs w:val="24"/>
          <w:rtl w:val="0"/>
        </w:rPr>
        <w:t xml:space="preserve">braukšanas laikā traucēt transportlīdzekļa vadītāju vai novērst tā uzmanību;</w:t>
      </w:r>
    </w:p>
    <w:p w:rsidR="00000000" w:rsidDel="00000000" w:rsidP="00000000" w:rsidRDefault="00000000" w:rsidRPr="00000000" w14:paraId="00000019">
      <w:pPr>
        <w:numPr>
          <w:ilvl w:val="1"/>
          <w:numId w:val="1"/>
        </w:numPr>
        <w:spacing w:line="240" w:lineRule="auto"/>
        <w:ind w:left="1620" w:hanging="720"/>
        <w:jc w:val="both"/>
        <w:rPr>
          <w:sz w:val="24"/>
          <w:szCs w:val="24"/>
        </w:rPr>
      </w:pPr>
      <w:r w:rsidDel="00000000" w:rsidR="00000000" w:rsidRPr="00000000">
        <w:rPr>
          <w:sz w:val="24"/>
          <w:szCs w:val="24"/>
          <w:rtl w:val="0"/>
        </w:rPr>
        <w:t xml:space="preserve">atvērt braucoša transportlīdzekļa durvis;</w:t>
      </w:r>
    </w:p>
    <w:p w:rsidR="00000000" w:rsidDel="00000000" w:rsidP="00000000" w:rsidRDefault="00000000" w:rsidRPr="00000000" w14:paraId="0000001A">
      <w:pPr>
        <w:numPr>
          <w:ilvl w:val="1"/>
          <w:numId w:val="1"/>
        </w:numPr>
        <w:spacing w:line="240" w:lineRule="auto"/>
        <w:ind w:left="1620" w:hanging="720"/>
        <w:jc w:val="both"/>
        <w:rPr>
          <w:sz w:val="24"/>
          <w:szCs w:val="24"/>
        </w:rPr>
      </w:pPr>
      <w:r w:rsidDel="00000000" w:rsidR="00000000" w:rsidRPr="00000000">
        <w:rPr>
          <w:sz w:val="24"/>
          <w:szCs w:val="24"/>
          <w:rtl w:val="0"/>
        </w:rPr>
        <w:t xml:space="preserve">atvērt stāvoša transportlīdzekļa durvis, ja tas apdraud ceļu satiksmes drošību vai traucē citus ceļu satiksmes dalībniekus;</w:t>
      </w:r>
    </w:p>
    <w:p w:rsidR="00000000" w:rsidDel="00000000" w:rsidP="00000000" w:rsidRDefault="00000000" w:rsidRPr="00000000" w14:paraId="0000001B">
      <w:pPr>
        <w:numPr>
          <w:ilvl w:val="1"/>
          <w:numId w:val="1"/>
        </w:numPr>
        <w:spacing w:line="240" w:lineRule="auto"/>
        <w:ind w:left="1620" w:hanging="720"/>
        <w:jc w:val="both"/>
        <w:rPr>
          <w:sz w:val="24"/>
          <w:szCs w:val="24"/>
        </w:rPr>
      </w:pPr>
      <w:r w:rsidDel="00000000" w:rsidR="00000000" w:rsidRPr="00000000">
        <w:rPr>
          <w:sz w:val="24"/>
          <w:szCs w:val="24"/>
          <w:rtl w:val="0"/>
        </w:rPr>
        <w:t xml:space="preserve">atstāt sēdvietu bez uzaicinājuma, ja transportlīdzeklis apturēts pēc policijas darbinieka vai zemessarga pieprasījuma.</w:t>
      </w:r>
    </w:p>
    <w:p w:rsidR="00000000" w:rsidDel="00000000" w:rsidP="00000000" w:rsidRDefault="00000000" w:rsidRPr="00000000" w14:paraId="0000001C">
      <w:pPr>
        <w:numPr>
          <w:ilvl w:val="0"/>
          <w:numId w:val="1"/>
        </w:numPr>
        <w:spacing w:line="240" w:lineRule="auto"/>
        <w:ind w:left="900" w:hanging="540"/>
        <w:jc w:val="both"/>
        <w:rPr>
          <w:sz w:val="24"/>
          <w:szCs w:val="24"/>
        </w:rPr>
      </w:pPr>
      <w:r w:rsidDel="00000000" w:rsidR="00000000" w:rsidRPr="00000000">
        <w:rPr>
          <w:sz w:val="24"/>
          <w:szCs w:val="24"/>
          <w:rtl w:val="0"/>
        </w:rPr>
        <w:t xml:space="preserve">Piestiprināt savam apģērbam gaismu atstarojošus elementus un aksesuārus, lai transportlīdzekļa vadītājs varētu gājēju pamanīt.</w:t>
      </w:r>
    </w:p>
    <w:p w:rsidR="00000000" w:rsidDel="00000000" w:rsidP="00000000" w:rsidRDefault="00000000" w:rsidRPr="00000000" w14:paraId="0000001D">
      <w:pPr>
        <w:numPr>
          <w:ilvl w:val="0"/>
          <w:numId w:val="1"/>
        </w:numPr>
        <w:spacing w:line="240" w:lineRule="auto"/>
        <w:ind w:left="900" w:hanging="540"/>
        <w:jc w:val="both"/>
        <w:rPr>
          <w:sz w:val="24"/>
          <w:szCs w:val="24"/>
        </w:rPr>
      </w:pPr>
      <w:r w:rsidDel="00000000" w:rsidR="00000000" w:rsidRPr="00000000">
        <w:rPr>
          <w:sz w:val="24"/>
          <w:szCs w:val="24"/>
          <w:rtl w:val="0"/>
        </w:rPr>
        <w:t xml:space="preserve">Sniegt pirmo palīdzību ceļu satiksmes negadījumā cietušajam.</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